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76C253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</w:p>
    <w:p w14:paraId="2D09E2B7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 medical</w:t>
      </w:r>
    </w:p>
    <w:p w14:paraId="6F4B43FE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</w:t>
      </w:r>
    </w:p>
    <w:p w14:paraId="357C6C59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candidatului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candidatei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01555C97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.............../..................</w:t>
      </w:r>
    </w:p>
    <w:p w14:paraId="42CDC08E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ADEVERINŢĂ MEDICALĂ</w:t>
      </w:r>
    </w:p>
    <w:p w14:paraId="6A60EE29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adevereşte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dl/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născut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ziua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legitimat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cu C.I./B.I.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 nr.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de ................ la data ............, cod numeric personal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[ ]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][ ][ ][ ][ ][ ][ ][ ][ ][ ][ ][ ],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lista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începând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data ........................................</w:t>
      </w:r>
    </w:p>
    <w:p w14:paraId="239D99C0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[ ]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/nu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evidenţă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sub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observaţie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5"/>
      </w:tblGrid>
      <w:tr w:rsidR="00000000" w14:paraId="1250FFDD" w14:textId="7777777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02214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Antecedente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personale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patologice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: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boli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infectocontagioase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suspiciune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infecţie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COVID-19,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boli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acute, severe,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accidente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intervenţii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chirurgicale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boli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cronice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Se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acordă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atenţie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deosebită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afecţiunilor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endocrino-metabolice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obezitate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afecţiunilor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tiroidiene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afecţiunilor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oftalmologice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miopie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hipermetropie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valoarea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dioptriilor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discromatopsi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afecţiunilor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dermatologice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vitiligo;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afecţiunilor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ortopedice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scolioze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cifoze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picior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plat,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deformaţii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diverse^1))</w:t>
            </w:r>
          </w:p>
          <w:p w14:paraId="1BC85679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14:paraId="6FAA2783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^1)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Aptitudinea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dicală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admitere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încadrare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este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stabilită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baremelor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medicale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specifice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aprobate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hyperlink w:history="1"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anexa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nr. 1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la </w:t>
            </w:r>
            <w:hyperlink w:history="1"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Ordinul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ministrului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apărării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naţionale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viceprim-ministrului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ministrul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afacerilor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interne,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ministrului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justiţiei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directorului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Serviciului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Român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Informaţii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directorului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Serviciului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Informaţii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Externe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directorului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Serviciului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Tele</w:t>
              </w:r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comunicaţii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Speciale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şi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directorului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Serviciului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Protecţie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şi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Pază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nr. M.55/107/2.587/C/10.357/210/496/831/2014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aprobarea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hyperlink w:history="1"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baremelor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medicale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efectuarea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examenului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medical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admiterea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unităţile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instituţiil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învăţământ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militar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informaţii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ordine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publică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securitate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naţională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pe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perioada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şcolarizării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elevilor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studenţilor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unităţile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instituţiile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învăţământ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militar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informaţii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ordine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publică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securitate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naţională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ocup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area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funcţiilor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soldat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gradat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profesionist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precum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candidaţii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urmează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 fi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chemaţi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rechemaţi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încadraţi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rândul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cadrelor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militare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activitate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poliţiştilor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serviciu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funcţionarilor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publici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statut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special din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sistemul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administraţiei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penitenciare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modificările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completările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ulterioare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6DBAB856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Boli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neuropsihice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(acute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cronice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mod distinct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toxicomaniile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alcoolismul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etc.)</w:t>
            </w:r>
          </w:p>
          <w:p w14:paraId="2F3E9CE0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</w:t>
            </w:r>
          </w:p>
          <w:p w14:paraId="10150AEE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48748BFD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CLINIC SĂNĂTOS: DA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[ ]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/NU [ ]</w:t>
      </w:r>
    </w:p>
    <w:p w14:paraId="3A2B466C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adeverinţă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participarea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concursul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admitere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instituţie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M.A.I./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concursul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încadrare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M.A.I. </w:t>
      </w:r>
    </w:p>
    <w:p w14:paraId="29396B16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……………………</w:t>
      </w:r>
    </w:p>
    <w:p w14:paraId="1ACDFA45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</w:p>
    <w:p w14:paraId="6B06E349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NOTĂ:</w:t>
      </w:r>
    </w:p>
    <w:p w14:paraId="024A4688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formitate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legislaţiei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vigoare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întreaga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acurateţea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corectitudinea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furnizate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dumneavoastră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sub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Diagnosticele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majuscule,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fără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prescurtări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excepţia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abrevierilor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unanim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recunoscute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6808F2B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Atenţie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!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consemna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afecţiunile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confirmate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medical.</w:t>
      </w:r>
    </w:p>
    <w:p w14:paraId="3D015491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NOTĂ:</w:t>
      </w:r>
    </w:p>
    <w:p w14:paraId="77161776" w14:textId="53E19D5B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conţine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date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sub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incidenţa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Regulamentului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(UE) 2016/679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Parlamentului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European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Consiliului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din 27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2016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protecţia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priveşte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prelucrarea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libera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circulaţie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ogare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hyperlink r:id="rId4" w:anchor="A0" w:tgtFrame="_blank" w:history="1"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Directivei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95/46/CE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instrText xml:space="preserve"> </w:instrTex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instrText>HYPERLINK "" \t ""</w:instrTex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instrText xml:space="preserve"> </w:instrTex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sz w:val="20"/>
          <w:szCs w:val="20"/>
          <w:shd w:val="clear" w:color="auto" w:fill="FFFFFF"/>
        </w:rPr>
        <w:t>Regulamentul</w:t>
      </w:r>
      <w:proofErr w:type="spellEnd"/>
      <w:r>
        <w:rPr>
          <w:rStyle w:val="Hyperlink"/>
          <w:rFonts w:ascii="Verdana" w:hAnsi="Verdana"/>
          <w:sz w:val="20"/>
          <w:szCs w:val="20"/>
          <w:shd w:val="clear" w:color="auto" w:fill="FFFFFF"/>
        </w:rPr>
        <w:t xml:space="preserve"> general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protecţia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);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diseminarea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manipularea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document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respectarea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B5301B9" w14:textId="2A75EA21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8A3B840" w14:textId="0BE034F0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35B8BD1" w14:textId="5A0FA658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56D5A82" w14:textId="6F35ED36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DA3578" w14:textId="0841F205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4EE70D9" w14:textId="2A6C2D29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30D3D83" w14:textId="7DFD863B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1375C1" w14:textId="3F992B61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221FFE7" w14:textId="1D6345B1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4756C0C" w14:textId="77777777" w:rsidR="001F6B0E" w:rsidRDefault="001F6B0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58F1370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VERSO</w:t>
      </w:r>
    </w:p>
    <w:p w14:paraId="7CE9760B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AFACERILOR INTERNE</w:t>
      </w:r>
    </w:p>
    <w:p w14:paraId="23627357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medicală</w:t>
      </w:r>
      <w:proofErr w:type="spellEnd"/>
    </w:p>
    <w:p w14:paraId="12EFA773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.................................................................</w:t>
      </w:r>
    </w:p>
    <w:p w14:paraId="0EF7AE43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analiza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conţinutului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adeverinţe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constată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5"/>
      </w:tblGrid>
      <w:tr w:rsidR="00000000" w14:paraId="61EA0449" w14:textId="7777777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4FEC1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[ ]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POATE PARTICIPA la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concursul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admitere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la 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instituţie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învăţământ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formează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personal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nevoile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M.A.I./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concursul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încadrare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M.A.I., conform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prezentei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adeverinţe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medicale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eliberate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medicul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familie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420E17B7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SAU</w:t>
            </w:r>
          </w:p>
          <w:p w14:paraId="31B0AD02" w14:textId="77777777" w:rsidR="00000000" w:rsidRDefault="00342E7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^1)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[ ]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„INAPT“, conform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paragrafului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nr. …… din </w:t>
            </w:r>
            <w:hyperlink w:history="1"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anexa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nr. 1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la </w:t>
            </w:r>
            <w:hyperlink w:history="1"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Ordinul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ministrului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apărării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naţionale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viceprim-ministrului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ministrul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afacerilor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interne,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ministrului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justiţiei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directorului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Serviciului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Român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Informaţii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directorului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Serviciului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Informaţii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Externe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,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directorul</w:t>
              </w:r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Serviciului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Telecomunicaţii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Speciale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şi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al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directorului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Serviciului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Protecţie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şi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Pază</w:t>
              </w:r>
              <w:proofErr w:type="spellEnd"/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nr. M.55/107/2.587/C/10.357/210/496/831/2014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^2)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antecedentelor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patologice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personale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afecţiunilor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bolilor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neuropsihice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toxicomaniilor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consemnate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către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medicul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familie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sens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care NU POATE PARTICIPA la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concursul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admitere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la 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instituţie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învăţământ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formează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personal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nevoile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M.A.I./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concursul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încadrare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M.A.I.</w:t>
            </w:r>
          </w:p>
        </w:tc>
      </w:tr>
    </w:tbl>
    <w:p w14:paraId="69B34733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^1)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adeverinţa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afecţiune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determină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expres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inaptitudinea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raportare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baremele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vigoare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14:paraId="1DBF51D6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^2)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aprobarea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baremelor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examenului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medical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admiterea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instituţiile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militar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ordine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securitate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şcolarizării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elevilor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studenţilor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instituţiile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militar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ordine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securitate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ocuparea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soldat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profesionist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precum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candidaţii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chemaţi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rechemaţi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încadraţi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rândul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militare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poliţiştilor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serviciu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statut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special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sistemul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penitencia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completările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ulterioare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14:paraId="4FB33E35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......................</w:t>
      </w:r>
    </w:p>
    <w:p w14:paraId="2A664B53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</w:t>
      </w:r>
      <w:proofErr w:type="spellEnd"/>
    </w:p>
    <w:p w14:paraId="3164815A" w14:textId="77777777" w:rsidR="00000000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NOTĂ:</w:t>
      </w:r>
    </w:p>
    <w:p w14:paraId="77C31722" w14:textId="77777777" w:rsidR="00342E7C" w:rsidRDefault="00342E7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conţine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date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sub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incidenţa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Regulamentului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(UE) 2016/679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diseminarea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manipularea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document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respectarea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invocat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sectPr w:rsidR="00342E7C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0E"/>
    <w:rsid w:val="000C3902"/>
    <w:rsid w:val="001F6B0E"/>
    <w:rsid w:val="00342E7C"/>
    <w:rsid w:val="007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C63F4"/>
  <w15:chartTrackingRefBased/>
  <w15:docId w15:val="{31570C87-6103-42A9-BF99-72281BE0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E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tdnoborder">
    <w:name w:val="s_td_no_border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left">
    <w:name w:val="s_td_h_align_left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right">
    <w:name w:val="s_td_h_align_right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center">
    <w:name w:val="s_td_h_align_center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valigntop">
    <w:name w:val="s_td_v_align_top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valignmiddle">
    <w:name w:val="s_td_v_align_middl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valignbootom">
    <w:name w:val="s_td_v_align_bootom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noborder1">
    <w:name w:val="s_td_no_border1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left1">
    <w:name w:val="s_td_h_align_left1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right1">
    <w:name w:val="s_td_h_align_right1"/>
    <w:basedOn w:val="Normal"/>
    <w:pPr>
      <w:autoSpaceDE/>
      <w:autoSpaceDN/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dhaligncenter1">
    <w:name w:val="s_td_h_align_center1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dvaligntop1">
    <w:name w:val="s_td_v_align_top1"/>
    <w:basedOn w:val="Normal"/>
    <w:pPr>
      <w:autoSpaceDE/>
      <w:autoSpaceDN/>
      <w:spacing w:before="100" w:beforeAutospacing="1" w:after="100" w:afterAutospacing="1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stdvalignmiddle1">
    <w:name w:val="s_td_v_align_middle1"/>
    <w:basedOn w:val="Normal"/>
    <w:pPr>
      <w:autoSpaceDE/>
      <w:autoSpaceDN/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dvalignbootom1">
    <w:name w:val="s_td_v_align_bootom1"/>
    <w:basedOn w:val="Normal"/>
    <w:pPr>
      <w:autoSpaceDE/>
      <w:autoSpaceDN/>
      <w:spacing w:before="100" w:beforeAutospacing="1" w:after="100" w:afterAutospacing="1"/>
      <w:textAlignment w:val="bottom"/>
    </w:pPr>
    <w:rPr>
      <w:rFonts w:ascii="Times New Roman" w:eastAsiaTheme="minorEastAsia" w:hAnsi="Times New Roman"/>
      <w:sz w:val="24"/>
      <w:szCs w:val="24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elementcenter1">
    <w:name w:val="a_element_center1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eurolegis\ro\index\act\6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Luca</dc:creator>
  <cp:keywords/>
  <dc:description/>
  <cp:lastModifiedBy>Florina Luca</cp:lastModifiedBy>
  <cp:revision>2</cp:revision>
  <dcterms:created xsi:type="dcterms:W3CDTF">2021-02-15T08:33:00Z</dcterms:created>
  <dcterms:modified xsi:type="dcterms:W3CDTF">2021-02-15T08:33:00Z</dcterms:modified>
</cp:coreProperties>
</file>